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4F77" w14:textId="77777777" w:rsidR="002665BB" w:rsidRDefault="002665BB" w:rsidP="002665B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Titolo del Progetto di Ricerca: Risposte cellulari e molecolari elaborate dai mitili, </w:t>
      </w:r>
      <w:proofErr w:type="spellStart"/>
      <w:r>
        <w:rPr>
          <w:color w:val="000000"/>
          <w:sz w:val="27"/>
          <w:szCs w:val="27"/>
        </w:rPr>
        <w:t>Mytilus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galloprovincialis</w:t>
      </w:r>
      <w:proofErr w:type="spellEnd"/>
      <w:r>
        <w:rPr>
          <w:color w:val="000000"/>
          <w:sz w:val="27"/>
          <w:szCs w:val="27"/>
        </w:rPr>
        <w:t>, esposti a contaminanti emergenti.</w:t>
      </w:r>
    </w:p>
    <w:p w14:paraId="61E36178" w14:textId="3B7540F0" w:rsidR="002665BB" w:rsidRDefault="002665BB" w:rsidP="002665B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PROGETTO: L'attività di ricerca riguarderà le risposte cellulari e molecolari (attività enzimatiche, espressione di proteine, </w:t>
      </w:r>
      <w:proofErr w:type="spellStart"/>
      <w:r>
        <w:rPr>
          <w:color w:val="000000"/>
          <w:sz w:val="27"/>
          <w:szCs w:val="27"/>
        </w:rPr>
        <w:t>biomarkers</w:t>
      </w:r>
      <w:proofErr w:type="spellEnd"/>
      <w:r>
        <w:rPr>
          <w:color w:val="000000"/>
          <w:sz w:val="27"/>
          <w:szCs w:val="27"/>
        </w:rPr>
        <w:t xml:space="preserve">) nel </w:t>
      </w:r>
      <w:proofErr w:type="spellStart"/>
      <w:r>
        <w:rPr>
          <w:color w:val="000000"/>
          <w:sz w:val="27"/>
          <w:szCs w:val="27"/>
        </w:rPr>
        <w:t>Mytilus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galloprovincialis</w:t>
      </w:r>
      <w:proofErr w:type="spellEnd"/>
      <w:r>
        <w:rPr>
          <w:color w:val="000000"/>
          <w:sz w:val="27"/>
          <w:szCs w:val="27"/>
        </w:rPr>
        <w:t xml:space="preserve"> esposto ad inquinanti emergenti (percolati da plastiche e farmaci come contaminanti emergenti dell’ambiente marino). Per l’effetto dei farmaci, saranno scelti alcuni rappresentativi inclusi nella Watch List emanata dalla UE e si inizierà una indagine sui potenziali meccanismi d’azione intracellulari, oltre agli effetti mediante biomarker biochimici, fisiologici e istologici. I percolati di materiale plastico saranno generati in acqua di mare artificiale e l’analisi spettrometrica mirata mediante LC-MS-MS misurerà gli additivi target rilasciati, in particolare gli interferenti endocrini. Il loro effetto sui mitili sarà identificato attraverso la batteria di biomarker sopra-citata.</w:t>
      </w:r>
      <w:r w:rsidR="00C96154">
        <w:rPr>
          <w:color w:val="000000"/>
          <w:sz w:val="27"/>
          <w:szCs w:val="27"/>
        </w:rPr>
        <w:t xml:space="preserve"> La formazione in ricerca sarà garantita dalla collaborazione nel gruppo di lavoro, dalla possibilità di partecipazione a convegni sul tema e all’educazione alla scrittura di articoli scientifici.</w:t>
      </w:r>
    </w:p>
    <w:p w14:paraId="5B07385E" w14:textId="77777777" w:rsidR="00D50E7A" w:rsidRDefault="00D50E7A"/>
    <w:sectPr w:rsidR="00D50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BB"/>
    <w:rsid w:val="001B6864"/>
    <w:rsid w:val="002665BB"/>
    <w:rsid w:val="00C0489A"/>
    <w:rsid w:val="00C96154"/>
    <w:rsid w:val="00D5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9944"/>
  <w15:chartTrackingRefBased/>
  <w15:docId w15:val="{E1C3F36B-796E-4A4B-A327-D295F9CB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Alma Mater Studiorum - Universita di Bologna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Fabbri</dc:creator>
  <cp:keywords/>
  <dc:description/>
  <cp:lastModifiedBy>Elena Fabbri</cp:lastModifiedBy>
  <cp:revision>2</cp:revision>
  <dcterms:created xsi:type="dcterms:W3CDTF">2025-07-09T13:36:00Z</dcterms:created>
  <dcterms:modified xsi:type="dcterms:W3CDTF">2025-07-09T13:36:00Z</dcterms:modified>
</cp:coreProperties>
</file>